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B" w:rsidRPr="003B7598" w:rsidRDefault="00CD245B" w:rsidP="00CD245B">
      <w:pPr>
        <w:jc w:val="center"/>
        <w:rPr>
          <w:rFonts w:ascii="Times New Roman" w:hAnsi="Times New Roman" w:cs="Times New Roman"/>
          <w:sz w:val="18"/>
          <w:szCs w:val="18"/>
        </w:rPr>
      </w:pPr>
      <w:r w:rsidRPr="00CC2D2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295775" cy="828675"/>
            <wp:effectExtent l="19050" t="0" r="9525" b="0"/>
            <wp:docPr id="7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5B" w:rsidRPr="006122E0" w:rsidRDefault="00CD245B" w:rsidP="00CD2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E0">
        <w:rPr>
          <w:rFonts w:ascii="Times New Roman" w:hAnsi="Times New Roman" w:cs="Times New Roman"/>
          <w:b/>
          <w:sz w:val="24"/>
          <w:szCs w:val="24"/>
        </w:rPr>
        <w:t>Annexure 01/SOP/7B/</w:t>
      </w:r>
      <w:r>
        <w:rPr>
          <w:rFonts w:ascii="Times New Roman" w:hAnsi="Times New Roman" w:cs="Times New Roman"/>
          <w:b/>
          <w:sz w:val="24"/>
          <w:szCs w:val="24"/>
        </w:rPr>
        <w:t>V2.1</w:t>
      </w:r>
    </w:p>
    <w:p w:rsidR="00CD245B" w:rsidRPr="006122E0" w:rsidRDefault="00CD245B" w:rsidP="00CD2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E0">
        <w:rPr>
          <w:rFonts w:ascii="Times New Roman" w:hAnsi="Times New Roman" w:cs="Times New Roman"/>
          <w:b/>
          <w:sz w:val="24"/>
          <w:szCs w:val="24"/>
        </w:rPr>
        <w:t>For Expedited Review</w:t>
      </w:r>
    </w:p>
    <w:p w:rsidR="00CD245B" w:rsidRPr="006122E0" w:rsidRDefault="00CD245B" w:rsidP="00CD2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E0">
        <w:rPr>
          <w:rFonts w:ascii="Times New Roman" w:hAnsi="Times New Roman" w:cs="Times New Roman"/>
          <w:b/>
          <w:sz w:val="24"/>
          <w:szCs w:val="24"/>
        </w:rPr>
        <w:t>Additional information to be provided with Application Form</w:t>
      </w: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study:</w:t>
      </w: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B" w:rsidRDefault="00CD245B" w:rsidP="00CD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5B" w:rsidRDefault="00CD245B" w:rsidP="00CD2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3B7598">
        <w:rPr>
          <w:rFonts w:ascii="Times New Roman" w:hAnsi="Times New Roman" w:cs="Times New Roman"/>
          <w:szCs w:val="24"/>
        </w:rPr>
        <w:t>Choose reasons why expedited review from EC is requested?</w:t>
      </w:r>
    </w:p>
    <w:p w:rsidR="00CD245B" w:rsidRPr="00CC2D28" w:rsidRDefault="00CD245B" w:rsidP="00CD24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CC2D28">
        <w:rPr>
          <w:rFonts w:ascii="Times New Roman" w:hAnsi="Times New Roman" w:cs="Times New Roman"/>
          <w:i/>
          <w:sz w:val="18"/>
          <w:szCs w:val="18"/>
        </w:rPr>
        <w:t>Refer to National Ethical Guidelines for Biomedical &amp; Health Research Involving Human Participants 2017, Page 51 Table 4.2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D245B" w:rsidRPr="003B7598" w:rsidRDefault="00CD245B" w:rsidP="00CD245B">
      <w:pPr>
        <w:pStyle w:val="ListParagraph"/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26" style="position:absolute;left:0;text-align:left;margin-left:468.65pt;margin-top:14pt;width:9.75pt;height:10.5pt;z-index:251660288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Involves non-identifiable specimen and human tissue from sources like blood banks, tissue banks and left-over clinical samples.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27" style="position:absolute;left:0;text-align:left;margin-left:469.3pt;margin-top:4.5pt;width:9.75pt;height:10.5pt;z-index:251661312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Involves clinical documentation materials that are non-identifiable (data, documents, records).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28" style="position:absolute;left:0;text-align:left;margin-left:469.3pt;margin-top:17.75pt;width:9.75pt;height:10.5pt;z-index:251662336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Modification or amendment to approved protocol (administrative changes/correction of typographical errors and change in researcher(s)).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29" style="position:absolute;left:0;text-align:left;margin-left:469.2pt;margin-top:12.75pt;width:9.75pt;height:10.5pt;z-index:251663360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Revised proposal previously approved through expedited review, full review or continuing review of approved proposal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30" style="position:absolute;left:0;text-align:left;margin-left:469.4pt;margin-top:1pt;width:9.75pt;height:10.5pt;z-index:251664384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Minor deviation from originally approved research causing no risk or minimal risk.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31" style="position:absolute;left:0;text-align:left;margin-left:469.2pt;margin-top:18pt;width:9.75pt;height:10.5pt;z-index:251665408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Progress/annual report where there is no additional risk, for example activity limited to data analysis. Expedited review of SAEs/unexpected AEs will be conducted by SAE subcommittee.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32" style="position:absolute;left:0;text-align:left;margin-left:470.1pt;margin-top:22pt;width:9.75pt;height:10.5pt;z-index:251666432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For multicentre research where a designated EC among the participating sites has reviewed and approved the study, a local EC may conduct only an expedited review for site specific requirements in addition to the full committee common review.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34" style="position:absolute;left:0;text-align:left;margin-left:470.8pt;margin-top:2.35pt;width:9.75pt;height:10.5pt;z-index:251668480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Research during emergencies and disasters (See Section 12 of ICMR Ethical Guidelines, 2017).</w:t>
      </w:r>
    </w:p>
    <w:p w:rsidR="00CD245B" w:rsidRPr="003B7598" w:rsidRDefault="00C54390" w:rsidP="00CD24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Cs w:val="18"/>
        </w:rPr>
      </w:pPr>
      <w:r w:rsidRPr="00C54390">
        <w:rPr>
          <w:rFonts w:ascii="Times New Roman" w:hAnsi="Times New Roman" w:cs="Times New Roman"/>
          <w:noProof/>
          <w:szCs w:val="24"/>
        </w:rPr>
        <w:pict>
          <v:rect id="_x0000_s1033" style="position:absolute;left:0;text-align:left;margin-left:470.95pt;margin-top:5.55pt;width:9.75pt;height:10.5pt;z-index:251667456"/>
        </w:pict>
      </w:r>
      <w:r w:rsidR="00CD245B" w:rsidRPr="003B7598">
        <w:rPr>
          <w:rFonts w:ascii="Times New Roman" w:hAnsi="Times New Roman" w:cs="Times New Roman"/>
          <w:color w:val="231F20"/>
          <w:szCs w:val="18"/>
        </w:rPr>
        <w:t>Any other (please specify)</w:t>
      </w:r>
    </w:p>
    <w:p w:rsidR="00CD245B" w:rsidRPr="003B7598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</w:rPr>
      </w:pPr>
    </w:p>
    <w:p w:rsidR="00CD245B" w:rsidRPr="003B7598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Cs w:val="24"/>
        </w:rPr>
      </w:pPr>
    </w:p>
    <w:p w:rsidR="00CD245B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D274BC">
        <w:rPr>
          <w:rFonts w:ascii="Times New Roman" w:hAnsi="Times New Roman" w:cs="Times New Roman"/>
          <w:color w:val="231F20"/>
          <w:sz w:val="24"/>
          <w:szCs w:val="24"/>
        </w:rPr>
        <w:t>Signature of PI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with date</w:t>
      </w:r>
      <w:r w:rsidRPr="00D274B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CD245B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CD245B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427F22">
        <w:rPr>
          <w:rFonts w:ascii="Times New Roman" w:hAnsi="Times New Roman" w:cs="Times New Roman"/>
          <w:color w:val="231F20"/>
          <w:sz w:val="24"/>
          <w:szCs w:val="24"/>
        </w:rPr>
        <w:t>Comments of EC Secretariat:</w:t>
      </w:r>
    </w:p>
    <w:p w:rsidR="00CD245B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6"/>
          <w:szCs w:val="24"/>
        </w:rPr>
      </w:pPr>
    </w:p>
    <w:p w:rsidR="00CD245B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6"/>
          <w:szCs w:val="24"/>
        </w:rPr>
      </w:pPr>
    </w:p>
    <w:p w:rsidR="00CD245B" w:rsidRPr="000B6D06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6"/>
          <w:szCs w:val="24"/>
        </w:rPr>
      </w:pPr>
    </w:p>
    <w:p w:rsidR="008F7165" w:rsidRPr="00CD245B" w:rsidRDefault="00CD245B" w:rsidP="00CD245B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427F22">
        <w:rPr>
          <w:rFonts w:ascii="Times New Roman" w:hAnsi="Times New Roman" w:cs="Times New Roman"/>
          <w:color w:val="231F20"/>
          <w:sz w:val="24"/>
          <w:szCs w:val="24"/>
        </w:rPr>
        <w:t>Signature of Member Secretary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with date</w:t>
      </w:r>
      <w:r w:rsidRPr="00427F2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sectPr w:rsidR="008F7165" w:rsidRPr="00CD245B" w:rsidSect="00CD245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DEE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60C8F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45B"/>
    <w:rsid w:val="008F7165"/>
    <w:rsid w:val="00C54390"/>
    <w:rsid w:val="00CD245B"/>
    <w:rsid w:val="00CD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3</cp:revision>
  <dcterms:created xsi:type="dcterms:W3CDTF">2019-04-13T10:00:00Z</dcterms:created>
  <dcterms:modified xsi:type="dcterms:W3CDTF">2019-04-13T10:09:00Z</dcterms:modified>
</cp:coreProperties>
</file>